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641DE569" w:rsidR="000D6928" w:rsidRPr="007C26D2" w:rsidRDefault="000D6928" w:rsidP="000D692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2E30E5A0">
            <wp:simplePos x="0" y="0"/>
            <wp:positionH relativeFrom="column">
              <wp:posOffset>809625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A8461D">
        <w:rPr>
          <w:rFonts w:ascii="Arial Black" w:hAnsi="Arial Black"/>
          <w:b/>
          <w:bCs/>
          <w:color w:val="FF0000"/>
          <w:sz w:val="28"/>
          <w:szCs w:val="28"/>
        </w:rPr>
        <w:t>2</w:t>
      </w:r>
      <w:r w:rsidR="007D618E">
        <w:rPr>
          <w:rFonts w:ascii="Arial Black" w:hAnsi="Arial Black"/>
          <w:b/>
          <w:bCs/>
          <w:color w:val="FF0000"/>
          <w:sz w:val="28"/>
          <w:szCs w:val="28"/>
        </w:rPr>
        <w:t>7</w:t>
      </w:r>
      <w:r w:rsidR="00A8461D" w:rsidRPr="00A8461D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A8461D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7D618E">
        <w:rPr>
          <w:rFonts w:ascii="Arial Black" w:hAnsi="Arial Black"/>
          <w:b/>
          <w:bCs/>
          <w:color w:val="FF0000"/>
          <w:sz w:val="28"/>
          <w:szCs w:val="28"/>
        </w:rPr>
        <w:t>May</w:t>
      </w:r>
      <w:r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FA0CCE">
        <w:rPr>
          <w:rFonts w:ascii="Arial Black" w:hAnsi="Arial Black"/>
          <w:b/>
          <w:bCs/>
          <w:color w:val="FF0000"/>
          <w:sz w:val="28"/>
          <w:szCs w:val="28"/>
        </w:rPr>
        <w:t>20</w:t>
      </w:r>
      <w:r>
        <w:rPr>
          <w:rFonts w:ascii="Arial Black" w:hAnsi="Arial Black"/>
          <w:b/>
          <w:bCs/>
          <w:color w:val="FF0000"/>
          <w:sz w:val="28"/>
          <w:szCs w:val="28"/>
        </w:rPr>
        <w:t>21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6CF698B2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>
        <w:rPr>
          <w:rFonts w:ascii="Arial Black" w:hAnsi="Arial Black"/>
          <w:b/>
          <w:bCs/>
        </w:rPr>
        <w:t>1</w:t>
      </w:r>
      <w:r w:rsidR="0077254C">
        <w:rPr>
          <w:rFonts w:ascii="Arial Black" w:hAnsi="Arial Black"/>
          <w:b/>
          <w:bCs/>
        </w:rPr>
        <w:t>-22 03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3352DF63" w:rsidR="000D6928" w:rsidRPr="00000C4F" w:rsidRDefault="006648A8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77777777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Pr="006221F9">
        <w:tab/>
        <w:t xml:space="preserve">Apologies: </w:t>
      </w:r>
    </w:p>
    <w:p w14:paraId="5115562C" w14:textId="79D0A125" w:rsidR="006648A8" w:rsidRPr="003B297C" w:rsidRDefault="006648A8" w:rsidP="006648A8">
      <w:pPr>
        <w:pStyle w:val="ACCtopindent"/>
      </w:pPr>
      <w:r w:rsidRPr="003B297C">
        <w:tab/>
      </w:r>
      <w:r w:rsidR="009832DC" w:rsidRPr="003B297C">
        <w:t>Marie-Luise MacDonald - Chair (MLM)</w:t>
      </w:r>
      <w:r w:rsidRPr="003B297C">
        <w:t xml:space="preserve">) </w:t>
      </w:r>
    </w:p>
    <w:p w14:paraId="3A97ABE4" w14:textId="54681584" w:rsidR="006648A8" w:rsidRDefault="00873E58" w:rsidP="006648A8">
      <w:pPr>
        <w:pStyle w:val="ACCtopindent"/>
      </w:pPr>
      <w:r>
        <w:tab/>
      </w:r>
      <w:r w:rsidR="006648A8" w:rsidRPr="00106A06">
        <w:t xml:space="preserve"> </w:t>
      </w:r>
      <w:r w:rsidR="009832DC" w:rsidRPr="003B297C">
        <w:t>Mia Berwick (MB)</w:t>
      </w:r>
    </w:p>
    <w:p w14:paraId="67AA1A26" w14:textId="495160F6" w:rsidR="006648A8" w:rsidRPr="003B297C" w:rsidRDefault="00873E58" w:rsidP="006648A8">
      <w:pPr>
        <w:pStyle w:val="ACCtopindent"/>
      </w:pPr>
      <w:r>
        <w:tab/>
      </w:r>
      <w:r w:rsidRPr="00106A06">
        <w:t xml:space="preserve">Lesley MacMaster </w:t>
      </w:r>
      <w:r>
        <w:t xml:space="preserve">– Centre manager </w:t>
      </w:r>
      <w:r w:rsidRPr="00106A06">
        <w:t>(LM)</w:t>
      </w:r>
    </w:p>
    <w:p w14:paraId="63E0BB10" w14:textId="07E9B035" w:rsidR="000D6928" w:rsidRPr="00E177ED" w:rsidRDefault="000D6928" w:rsidP="006648A8">
      <w:pPr>
        <w:pStyle w:val="ACCtopindent"/>
      </w:pPr>
      <w:r w:rsidRPr="00E177ED">
        <w:tab/>
      </w:r>
    </w:p>
    <w:p w14:paraId="3F753791" w14:textId="77777777" w:rsidR="000D6928" w:rsidRPr="003B297C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In attendance by Zoom:  </w:t>
      </w:r>
    </w:p>
    <w:p w14:paraId="051A7F11" w14:textId="28E762C3" w:rsidR="000D6928" w:rsidRDefault="00873E58" w:rsidP="000D6928">
      <w:pPr>
        <w:pStyle w:val="ACCtopindent"/>
      </w:pPr>
      <w:r w:rsidRPr="003B297C">
        <w:t>David John Cameron (DJC)</w:t>
      </w:r>
      <w:r>
        <w:t xml:space="preserve"> chair</w:t>
      </w:r>
      <w:r w:rsidR="006648A8">
        <w:tab/>
      </w:r>
      <w:r w:rsidR="006648A8" w:rsidRPr="003B297C">
        <w:t>Becky Dacre – Administrator (BD</w:t>
      </w:r>
    </w:p>
    <w:p w14:paraId="64895E61" w14:textId="23A50BD2" w:rsidR="000D6928" w:rsidRDefault="00873E58" w:rsidP="000D6928">
      <w:pPr>
        <w:pStyle w:val="ACCtopindent"/>
      </w:pPr>
      <w:r w:rsidRPr="003B297C">
        <w:t>Angela Williams (AW)</w:t>
      </w:r>
    </w:p>
    <w:p w14:paraId="067BE489" w14:textId="77777777" w:rsidR="00873E58" w:rsidRPr="003B297C" w:rsidRDefault="00873E58" w:rsidP="00873E58">
      <w:pPr>
        <w:pStyle w:val="ACCtopindent"/>
      </w:pPr>
      <w:r w:rsidRPr="003B297C">
        <w:t>Fiona Cameron (FC)</w:t>
      </w:r>
    </w:p>
    <w:p w14:paraId="57AFD1DA" w14:textId="77777777" w:rsidR="00873E58" w:rsidRPr="003B297C" w:rsidRDefault="00873E58" w:rsidP="00873E58">
      <w:pPr>
        <w:pStyle w:val="ACCtopindent"/>
      </w:pPr>
      <w:r w:rsidRPr="003B297C">
        <w:t xml:space="preserve">Tracy Cameron (TC) </w:t>
      </w:r>
    </w:p>
    <w:p w14:paraId="0DC34F2F" w14:textId="18C17406" w:rsidR="00873E58" w:rsidRDefault="00873E58" w:rsidP="000D6928">
      <w:pPr>
        <w:pStyle w:val="ACCtopindent"/>
      </w:pPr>
    </w:p>
    <w:p w14:paraId="04F699B7" w14:textId="77777777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>
        <w:t>is</w:t>
      </w:r>
      <w:r w:rsidRPr="00334A2C">
        <w:t xml:space="preserve"> reminded that this meeting is confidential and may only be recorded with the consent of the </w:t>
      </w:r>
      <w:r>
        <w:t>C</w:t>
      </w:r>
      <w:r w:rsidRPr="00334A2C">
        <w:t>hair and in the full knowledge of all participating parties.  Any such recordings must be destroyed when no longer required to serve the sole interests of the charity.</w:t>
      </w:r>
      <w:r>
        <w:t xml:space="preserve">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2ABC07F2" w14:textId="6E3B1E19" w:rsidR="000D6928" w:rsidRPr="005356AE" w:rsidRDefault="000D6928" w:rsidP="000D6928">
      <w:pPr>
        <w:pStyle w:val="ACCitemlevel2nonumber"/>
      </w:pPr>
      <w:r w:rsidRPr="005356AE">
        <w:t>The confidential record of meeting 21</w:t>
      </w:r>
      <w:r w:rsidR="00074B6E">
        <w:t>-22</w:t>
      </w:r>
      <w:r w:rsidR="0086606C">
        <w:t xml:space="preserve"> 01</w:t>
      </w:r>
      <w:r w:rsidRPr="005356AE">
        <w:t xml:space="preserve"> formal minutes </w:t>
      </w:r>
      <w:proofErr w:type="gramStart"/>
      <w:r w:rsidRPr="005356AE">
        <w:t>were</w:t>
      </w:r>
      <w:proofErr w:type="gramEnd"/>
      <w:r w:rsidRPr="005356AE">
        <w:t xml:space="preserve"> approved for publication</w:t>
      </w:r>
      <w:r>
        <w:t xml:space="preserve">. Publication on website </w:t>
      </w:r>
      <w:r w:rsidR="00FA0138">
        <w:t>has</w:t>
      </w:r>
      <w:r>
        <w:t xml:space="preserve"> resume</w:t>
      </w:r>
      <w:r w:rsidR="00FA0138">
        <w:t>d</w:t>
      </w:r>
      <w:r>
        <w:t xml:space="preserve"> with read-only docs.</w:t>
      </w:r>
      <w:r w:rsidR="009832DC">
        <w:t xml:space="preserve"> </w:t>
      </w:r>
      <w:r w:rsidR="00873E58">
        <w:t>Sensitive and personal information to be removed before publication.</w:t>
      </w:r>
    </w:p>
    <w:p w14:paraId="6197B808" w14:textId="0DA4A14B" w:rsidR="007B4E1F" w:rsidRDefault="000D6928" w:rsidP="000D6928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8B2330">
        <w:tab/>
      </w:r>
      <w:r w:rsidR="007B4E1F">
        <w:t>Chair</w:t>
      </w:r>
    </w:p>
    <w:p w14:paraId="6D12E3E5" w14:textId="5E75F10E" w:rsidR="008B2330" w:rsidRDefault="008B2330" w:rsidP="00FA0138">
      <w:pPr>
        <w:pStyle w:val="ACCitemlevel2nonumber"/>
      </w:pPr>
      <w:r w:rsidRPr="008B2330">
        <w:rPr>
          <w:b/>
          <w:bCs w:val="0"/>
        </w:rPr>
        <w:t>A</w:t>
      </w:r>
      <w:r>
        <w:tab/>
      </w:r>
      <w:r>
        <w:rPr>
          <w:b/>
          <w:bCs w:val="0"/>
        </w:rPr>
        <w:t>Trailer / chipper</w:t>
      </w:r>
      <w:r w:rsidRPr="008B2330">
        <w:rPr>
          <w:b/>
          <w:bCs w:val="0"/>
        </w:rPr>
        <w:tab/>
      </w:r>
      <w:r w:rsidR="00FA0138">
        <w:t xml:space="preserve">It </w:t>
      </w:r>
      <w:r w:rsidR="00873E58">
        <w:t>was proposed</w:t>
      </w:r>
      <w:r w:rsidR="00FA0138">
        <w:t xml:space="preserve"> that both items be sold</w:t>
      </w:r>
      <w:r w:rsidR="00703504">
        <w:t xml:space="preserve"> for </w:t>
      </w:r>
      <w:r w:rsidR="00873E58">
        <w:t xml:space="preserve">the </w:t>
      </w:r>
      <w:r w:rsidR="00703504">
        <w:t xml:space="preserve">offers </w:t>
      </w:r>
      <w:r w:rsidR="00873E58">
        <w:t xml:space="preserve">that have been </w:t>
      </w:r>
      <w:r w:rsidR="00703504">
        <w:t>received.</w:t>
      </w:r>
      <w:r w:rsidR="00FA0138">
        <w:t xml:space="preserve"> </w:t>
      </w:r>
      <w:r w:rsidR="00873E58">
        <w:t>The d</w:t>
      </w:r>
      <w:r w:rsidR="009832DC">
        <w:t>irectors discussed</w:t>
      </w:r>
      <w:r w:rsidR="00873E58">
        <w:t xml:space="preserve"> the issue</w:t>
      </w:r>
      <w:r w:rsidR="009832DC">
        <w:t xml:space="preserve"> and accepted offers.</w:t>
      </w:r>
      <w:r w:rsidR="00873E58" w:rsidRPr="00873E58">
        <w:t xml:space="preserve"> </w:t>
      </w:r>
      <w:r w:rsidR="00873E58">
        <w:t>£200 accepted for the trailer. £450-500 accepted for the chipper.</w:t>
      </w:r>
    </w:p>
    <w:p w14:paraId="2E8B0725" w14:textId="108B74B3" w:rsidR="00C61E68" w:rsidRDefault="00BB438D" w:rsidP="00FA0138">
      <w:pPr>
        <w:pStyle w:val="ACCitemlevel2nonumber"/>
        <w:rPr>
          <w:rFonts w:asciiTheme="majorHAnsi" w:hAnsiTheme="majorHAnsi" w:cstheme="majorHAnsi"/>
          <w:color w:val="222222"/>
        </w:rPr>
      </w:pPr>
      <w:r>
        <w:rPr>
          <w:b/>
          <w:bCs w:val="0"/>
        </w:rPr>
        <w:t>B</w:t>
      </w:r>
      <w:r>
        <w:rPr>
          <w:b/>
          <w:bCs w:val="0"/>
        </w:rPr>
        <w:tab/>
        <w:t xml:space="preserve">Insurance </w:t>
      </w:r>
      <w:r>
        <w:rPr>
          <w:b/>
          <w:bCs w:val="0"/>
        </w:rPr>
        <w:tab/>
      </w:r>
      <w:r w:rsidR="009C12B3">
        <w:t xml:space="preserve">Keegan &amp; </w:t>
      </w:r>
      <w:proofErr w:type="spellStart"/>
      <w:r w:rsidR="009C12B3">
        <w:t>Pennykid</w:t>
      </w:r>
      <w:proofErr w:type="spellEnd"/>
      <w:r w:rsidR="009C12B3">
        <w:t xml:space="preserve"> have offered desktop valuation of centre</w:t>
      </w:r>
      <w:r w:rsidR="006001A1">
        <w:t xml:space="preserve"> </w:t>
      </w:r>
      <w:r w:rsidR="009C12B3">
        <w:t>for insurance</w:t>
      </w:r>
      <w:r w:rsidR="00873E58">
        <w:t xml:space="preserve"> rebuild</w:t>
      </w:r>
      <w:r w:rsidR="009C12B3">
        <w:t xml:space="preserve"> purposes</w:t>
      </w:r>
      <w:r w:rsidR="002E3642">
        <w:t xml:space="preserve"> (</w:t>
      </w:r>
      <w:r w:rsidR="00873E58">
        <w:t xml:space="preserve">which would be </w:t>
      </w:r>
      <w:r w:rsidR="002E3642">
        <w:t>carried out by</w:t>
      </w:r>
      <w:r w:rsidR="00873E58">
        <w:t xml:space="preserve"> a</w:t>
      </w:r>
      <w:r w:rsidR="002E3642">
        <w:t xml:space="preserve"> 3</w:t>
      </w:r>
      <w:r w:rsidR="002E3642" w:rsidRPr="002E3642">
        <w:rPr>
          <w:vertAlign w:val="superscript"/>
        </w:rPr>
        <w:t>rd</w:t>
      </w:r>
      <w:r w:rsidR="002E3642">
        <w:t xml:space="preserve"> party</w:t>
      </w:r>
      <w:r w:rsidR="00873E58">
        <w:t>, not the insurers</w:t>
      </w:r>
      <w:r w:rsidR="002E3642">
        <w:t>)</w:t>
      </w:r>
      <w:r w:rsidR="00D4294F">
        <w:t>. Estimated cost</w:t>
      </w:r>
      <w:r w:rsidR="00873E58">
        <w:t xml:space="preserve"> is</w:t>
      </w:r>
      <w:r w:rsidR="00D4294F">
        <w:t xml:space="preserve"> </w:t>
      </w:r>
      <w:r w:rsidR="00FE13F0">
        <w:rPr>
          <w:rFonts w:ascii="Arial" w:hAnsi="Arial" w:cs="Arial"/>
          <w:color w:val="222222"/>
        </w:rPr>
        <w:t xml:space="preserve">£149.99 inclusive of VAT. </w:t>
      </w:r>
      <w:r w:rsidR="00873E58">
        <w:rPr>
          <w:rFonts w:asciiTheme="majorHAnsi" w:hAnsiTheme="majorHAnsi" w:cstheme="majorHAnsi"/>
          <w:color w:val="222222"/>
        </w:rPr>
        <w:t>The directors considered the offer and decided that BD should get a quote from Andy Gray of Allied Surveyors to compare prices</w:t>
      </w:r>
      <w:r w:rsidR="004C1167">
        <w:rPr>
          <w:rFonts w:asciiTheme="majorHAnsi" w:hAnsiTheme="majorHAnsi" w:cstheme="majorHAnsi"/>
          <w:color w:val="222222"/>
        </w:rPr>
        <w:t>.</w:t>
      </w:r>
      <w:r w:rsidR="009832DC">
        <w:rPr>
          <w:rFonts w:asciiTheme="majorHAnsi" w:hAnsiTheme="majorHAnsi" w:cstheme="majorHAnsi"/>
          <w:color w:val="222222"/>
        </w:rPr>
        <w:t xml:space="preserve"> </w:t>
      </w:r>
      <w:r w:rsidR="00873E58">
        <w:rPr>
          <w:rFonts w:asciiTheme="majorHAnsi" w:hAnsiTheme="majorHAnsi" w:cstheme="majorHAnsi"/>
          <w:color w:val="222222"/>
        </w:rPr>
        <w:t>If nothing forthcoming, the directors will pursue the Insurers offer</w:t>
      </w:r>
      <w:r w:rsidR="00C61E68">
        <w:rPr>
          <w:rFonts w:asciiTheme="majorHAnsi" w:hAnsiTheme="majorHAnsi" w:cstheme="majorHAnsi"/>
          <w:color w:val="222222"/>
        </w:rPr>
        <w:t>.</w:t>
      </w:r>
    </w:p>
    <w:p w14:paraId="1F8E93D4" w14:textId="27B22458" w:rsidR="00C36201" w:rsidRDefault="00932AC7" w:rsidP="00FA0138">
      <w:pPr>
        <w:pStyle w:val="ACCitemlevel2nonumber"/>
      </w:pPr>
      <w:r>
        <w:rPr>
          <w:b/>
          <w:bCs w:val="0"/>
        </w:rPr>
        <w:t>C</w:t>
      </w:r>
      <w:r>
        <w:rPr>
          <w:b/>
          <w:bCs w:val="0"/>
        </w:rPr>
        <w:tab/>
      </w:r>
      <w:r w:rsidR="005C6B9B">
        <w:rPr>
          <w:b/>
          <w:bCs w:val="0"/>
        </w:rPr>
        <w:t>Microsoft account</w:t>
      </w:r>
      <w:r w:rsidR="006C19C6">
        <w:rPr>
          <w:b/>
          <w:bCs w:val="0"/>
        </w:rPr>
        <w:tab/>
      </w:r>
      <w:r w:rsidR="006C19C6" w:rsidRPr="00F80A78">
        <w:t xml:space="preserve">consideration of </w:t>
      </w:r>
      <w:r w:rsidR="00F80A78" w:rsidRPr="00F80A78">
        <w:t>new account</w:t>
      </w:r>
      <w:r w:rsidR="00F80A78">
        <w:t>/one drive</w:t>
      </w:r>
      <w:r w:rsidR="000D1610">
        <w:t xml:space="preserve">. TC </w:t>
      </w:r>
      <w:r w:rsidR="00C61E68">
        <w:t xml:space="preserve">has </w:t>
      </w:r>
      <w:r w:rsidR="000D1610">
        <w:t>applied to Microsoft</w:t>
      </w:r>
      <w:r w:rsidR="00C61E68">
        <w:t xml:space="preserve"> for new ACC account</w:t>
      </w:r>
      <w:r w:rsidR="000D1610">
        <w:t xml:space="preserve">. </w:t>
      </w:r>
      <w:r w:rsidR="00C61E68">
        <w:t xml:space="preserve">The directors decided the offer from Microsoft seemed </w:t>
      </w:r>
      <w:r w:rsidR="003C429E">
        <w:t xml:space="preserve">very </w:t>
      </w:r>
      <w:r w:rsidR="00C61E68">
        <w:t>reasonable. TC is to share the information with the other directors/administrator to allow directors to decide and confirm the proposal.</w:t>
      </w:r>
    </w:p>
    <w:p w14:paraId="7E6664D5" w14:textId="705F5B6A" w:rsidR="00F80A78" w:rsidRDefault="005D0291" w:rsidP="00FA0138">
      <w:pPr>
        <w:pStyle w:val="ACCitemlevel2nonumber"/>
        <w:rPr>
          <w:b/>
          <w:bCs w:val="0"/>
        </w:rPr>
      </w:pPr>
      <w:r>
        <w:rPr>
          <w:b/>
          <w:bCs w:val="0"/>
        </w:rPr>
        <w:t>D</w:t>
      </w:r>
      <w:r>
        <w:rPr>
          <w:b/>
          <w:bCs w:val="0"/>
        </w:rPr>
        <w:tab/>
        <w:t>point of contact for tenants</w:t>
      </w:r>
      <w:r w:rsidR="00C61E68">
        <w:rPr>
          <w:b/>
          <w:bCs w:val="0"/>
        </w:rPr>
        <w:tab/>
      </w:r>
      <w:r w:rsidR="00C61E68">
        <w:t>Item to be added by directors as administrator was not present at discussion.</w:t>
      </w:r>
      <w:r w:rsidR="000D1610">
        <w:rPr>
          <w:b/>
          <w:bCs w:val="0"/>
        </w:rPr>
        <w:tab/>
      </w:r>
    </w:p>
    <w:p w14:paraId="01FBD4D4" w14:textId="5BD65CB6" w:rsidR="005D0291" w:rsidRDefault="005D0291" w:rsidP="00FA0138">
      <w:pPr>
        <w:pStyle w:val="ACCitemlevel2nonumber"/>
        <w:rPr>
          <w:b/>
          <w:bCs w:val="0"/>
        </w:rPr>
      </w:pPr>
      <w:r>
        <w:rPr>
          <w:b/>
          <w:bCs w:val="0"/>
        </w:rPr>
        <w:t>E</w:t>
      </w:r>
      <w:r>
        <w:rPr>
          <w:b/>
          <w:bCs w:val="0"/>
        </w:rPr>
        <w:tab/>
      </w:r>
      <w:r w:rsidR="002901F0">
        <w:rPr>
          <w:b/>
          <w:bCs w:val="0"/>
        </w:rPr>
        <w:t>Website access</w:t>
      </w:r>
      <w:r w:rsidR="000D1610">
        <w:rPr>
          <w:b/>
          <w:bCs w:val="0"/>
        </w:rPr>
        <w:tab/>
      </w:r>
      <w:r w:rsidR="00C61E68" w:rsidRPr="00C61E68">
        <w:t>Director’s discussion</w:t>
      </w:r>
      <w:r w:rsidR="00C61E68">
        <w:t xml:space="preserve"> about access to certain pages of the website so that individual directors can update their own relevant page. BD to investigate.</w:t>
      </w:r>
    </w:p>
    <w:p w14:paraId="26F06FDA" w14:textId="33006B47" w:rsidR="007411FB" w:rsidRDefault="002901F0" w:rsidP="00FB0C9D">
      <w:pPr>
        <w:pStyle w:val="ACCitemlevel2nonumber"/>
      </w:pPr>
      <w:r>
        <w:rPr>
          <w:b/>
          <w:bCs w:val="0"/>
        </w:rPr>
        <w:t>F</w:t>
      </w:r>
      <w:r>
        <w:rPr>
          <w:b/>
          <w:bCs w:val="0"/>
        </w:rPr>
        <w:tab/>
        <w:t>Policies</w:t>
      </w:r>
      <w:r w:rsidR="00C7365D">
        <w:rPr>
          <w:b/>
          <w:bCs w:val="0"/>
        </w:rPr>
        <w:t xml:space="preserve"> </w:t>
      </w:r>
      <w:r w:rsidR="00C7365D">
        <w:rPr>
          <w:b/>
          <w:bCs w:val="0"/>
        </w:rPr>
        <w:tab/>
      </w:r>
      <w:r w:rsidR="00C7365D">
        <w:t>consideration by directors of what policies are needed.</w:t>
      </w:r>
      <w:r w:rsidR="00FB0C9D">
        <w:t xml:space="preserve"> </w:t>
      </w:r>
    </w:p>
    <w:p w14:paraId="1E554DE1" w14:textId="77777777" w:rsidR="007411FB" w:rsidRDefault="00BF7D02" w:rsidP="00FB0C9D">
      <w:pPr>
        <w:pStyle w:val="ACCitemlevel2nonumber"/>
      </w:pPr>
      <w:r>
        <w:t>Child protection policy</w:t>
      </w:r>
      <w:r w:rsidR="00B2131B">
        <w:t xml:space="preserve"> – discussion about whether this is needed</w:t>
      </w:r>
      <w:r>
        <w:t xml:space="preserve">? </w:t>
      </w:r>
      <w:r w:rsidR="0054352D">
        <w:t>Decision made to</w:t>
      </w:r>
      <w:r w:rsidR="00BE4EEE">
        <w:t xml:space="preserve"> remove from list of policies. At events c</w:t>
      </w:r>
      <w:r>
        <w:t xml:space="preserve">hildren </w:t>
      </w:r>
      <w:r w:rsidR="00C25E6D">
        <w:t>would have to</w:t>
      </w:r>
      <w:r>
        <w:t xml:space="preserve"> be accompanied. </w:t>
      </w:r>
    </w:p>
    <w:p w14:paraId="139CAE6A" w14:textId="77777777" w:rsidR="00B31DF5" w:rsidRDefault="00B31DF5" w:rsidP="00FB0C9D">
      <w:pPr>
        <w:pStyle w:val="ACCitemlevel2nonumber"/>
      </w:pPr>
      <w:r>
        <w:t xml:space="preserve">Other to be included: </w:t>
      </w:r>
      <w:r w:rsidR="00BF7D02">
        <w:t xml:space="preserve">Equal opportunities / </w:t>
      </w:r>
      <w:r>
        <w:t xml:space="preserve">Health </w:t>
      </w:r>
      <w:r w:rsidR="00BF7D02">
        <w:t>&amp; S</w:t>
      </w:r>
      <w:r>
        <w:t>afety</w:t>
      </w:r>
      <w:r w:rsidR="00BF7D02">
        <w:t xml:space="preserve"> / </w:t>
      </w:r>
      <w:r>
        <w:t>E</w:t>
      </w:r>
      <w:r w:rsidR="00BF7D02">
        <w:t xml:space="preserve">nvironmental / </w:t>
      </w:r>
      <w:r>
        <w:t>V</w:t>
      </w:r>
      <w:r w:rsidR="007F4383">
        <w:t xml:space="preserve">olunteer / </w:t>
      </w:r>
      <w:r>
        <w:t>D</w:t>
      </w:r>
      <w:r w:rsidR="007F4383">
        <w:t xml:space="preserve">ata protection / </w:t>
      </w:r>
      <w:r>
        <w:t>A</w:t>
      </w:r>
      <w:r w:rsidR="007F4383">
        <w:t xml:space="preserve">nti bullying &amp; harassment / </w:t>
      </w:r>
      <w:r>
        <w:t>F</w:t>
      </w:r>
      <w:r w:rsidR="007F4383">
        <w:t xml:space="preserve">inance / </w:t>
      </w:r>
      <w:r>
        <w:t>E</w:t>
      </w:r>
      <w:r w:rsidR="007F4383">
        <w:t>mployment procedures</w:t>
      </w:r>
      <w:r>
        <w:t>.</w:t>
      </w:r>
    </w:p>
    <w:p w14:paraId="225EE139" w14:textId="33941702" w:rsidR="00C7365D" w:rsidRPr="00C7365D" w:rsidRDefault="00B31DF5" w:rsidP="00FB0C9D">
      <w:pPr>
        <w:pStyle w:val="ACCitemlevel2nonumber"/>
      </w:pPr>
      <w:r>
        <w:t xml:space="preserve">To be updated </w:t>
      </w:r>
      <w:r w:rsidR="007D3B30">
        <w:t>a</w:t>
      </w:r>
      <w:r>
        <w:t>nnually</w:t>
      </w:r>
      <w:r w:rsidR="007D3B30">
        <w:t xml:space="preserve"> in the </w:t>
      </w:r>
      <w:r w:rsidR="007F4383">
        <w:t xml:space="preserve">meeting </w:t>
      </w:r>
      <w:r w:rsidR="007D3B30">
        <w:t>following the AGM</w:t>
      </w:r>
      <w:r w:rsidR="007F4383">
        <w:t xml:space="preserve">. Print off </w:t>
      </w:r>
      <w:r w:rsidR="007D3B30">
        <w:t xml:space="preserve">copies </w:t>
      </w:r>
      <w:r w:rsidR="007F4383">
        <w:t xml:space="preserve">for office. </w:t>
      </w:r>
    </w:p>
    <w:p w14:paraId="4543211F" w14:textId="77777777" w:rsidR="000D6928" w:rsidRPr="00947347" w:rsidRDefault="000D6928" w:rsidP="000D6928">
      <w:pPr>
        <w:pStyle w:val="ACCitemlevel1"/>
      </w:pPr>
      <w:r w:rsidRPr="00947347">
        <w:t>Financial report</w:t>
      </w:r>
      <w:r>
        <w:tab/>
        <w:t>DJC</w:t>
      </w:r>
    </w:p>
    <w:p w14:paraId="3B5A74FC" w14:textId="58F0BAF6" w:rsidR="000D6928" w:rsidRPr="00947347" w:rsidRDefault="000D6928" w:rsidP="000D6928">
      <w:pPr>
        <w:pStyle w:val="ACCitemlevel2nonumber"/>
      </w:pPr>
      <w:r>
        <w:t>The Board received and noted the following financial report</w:t>
      </w:r>
      <w:r w:rsidR="002039CE">
        <w:rPr>
          <w:noProof/>
        </w:rPr>
        <w:lastRenderedPageBreak/>
        <w:drawing>
          <wp:inline distT="0" distB="0" distL="0" distR="0" wp14:anchorId="4004B83B" wp14:editId="3E7CE883">
            <wp:extent cx="5727700" cy="4558665"/>
            <wp:effectExtent l="19050" t="19050" r="25400" b="1333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D18CBA2-2244-4BDC-BFDD-CF0794ECCD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D18CBA2-2244-4BDC-BFDD-CF0794ECCDAA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2:$K$45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5866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6AF68" w14:textId="02F3E6BA" w:rsidR="000D6928" w:rsidRPr="005F1221" w:rsidRDefault="000D6928" w:rsidP="000D6928">
      <w:pPr>
        <w:pStyle w:val="ACCitemlevel2nonumber"/>
        <w:rPr>
          <w:rFonts w:cstheme="minorHAnsi"/>
          <w:szCs w:val="20"/>
        </w:rPr>
      </w:pPr>
    </w:p>
    <w:p w14:paraId="4FB48C37" w14:textId="77777777" w:rsidR="00AD067F" w:rsidRPr="00AD067F" w:rsidRDefault="000D6928" w:rsidP="000D6928">
      <w:pPr>
        <w:pStyle w:val="ACCitemlevel1"/>
        <w:rPr>
          <w:rFonts w:cstheme="minorHAnsi"/>
          <w:szCs w:val="22"/>
        </w:rPr>
      </w:pPr>
      <w:r>
        <w:t>Correspondence</w:t>
      </w:r>
    </w:p>
    <w:p w14:paraId="138A6725" w14:textId="77777777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  <w:r>
        <w:tab/>
        <w:t>BD</w:t>
      </w:r>
    </w:p>
    <w:p w14:paraId="3FA3B382" w14:textId="4F572493" w:rsidR="000D6928" w:rsidRDefault="000D6928" w:rsidP="000D6928">
      <w:pPr>
        <w:pStyle w:val="ACCitemlevel2nonumber"/>
      </w:pPr>
      <w:r w:rsidRPr="000B4B4F">
        <w:t xml:space="preserve">Approval of new ordinary member: </w:t>
      </w:r>
      <w:r w:rsidR="00882345">
        <w:t>none</w:t>
      </w:r>
    </w:p>
    <w:p w14:paraId="44B8967A" w14:textId="5360AA84" w:rsidR="00734E8F" w:rsidRDefault="00734E8F" w:rsidP="000D6928">
      <w:pPr>
        <w:pStyle w:val="ACCitemlevel2nonumber"/>
      </w:pPr>
      <w:r>
        <w:t>Appointment of Company Secretary</w:t>
      </w:r>
      <w:r w:rsidR="00695B83">
        <w:t>: ongoing</w:t>
      </w:r>
    </w:p>
    <w:p w14:paraId="796D56E6" w14:textId="2CB7348C" w:rsidR="009A0CA0" w:rsidRPr="009A0CA0" w:rsidRDefault="009A0CA0" w:rsidP="0042508C">
      <w:pPr>
        <w:spacing w:after="0"/>
        <w:ind w:left="425"/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</w:pPr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Note that following </w:t>
      </w:r>
      <w:r w:rsidR="006D257D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2 members</w:t>
      </w:r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move away from </w:t>
      </w:r>
      <w:proofErr w:type="spellStart"/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>Acharacle</w:t>
      </w:r>
      <w:proofErr w:type="spellEnd"/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they are no longer eligible to continue as Ordinary Members.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They have confirmed verbally that each wish to continue as Associate members and it was resolved that their application be approved.</w:t>
      </w:r>
      <w:r w:rsidR="00AF4548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 </w:t>
      </w:r>
    </w:p>
    <w:p w14:paraId="72ABB382" w14:textId="77777777" w:rsidR="009A0CA0" w:rsidRPr="009A0CA0" w:rsidRDefault="009A0CA0" w:rsidP="009A0CA0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</w:pPr>
    </w:p>
    <w:p w14:paraId="5CAF3E14" w14:textId="334A4C0C" w:rsidR="0042508C" w:rsidRPr="0042508C" w:rsidRDefault="009A0CA0" w:rsidP="0042508C">
      <w:pPr>
        <w:numPr>
          <w:ilvl w:val="0"/>
          <w:numId w:val="3"/>
        </w:numPr>
        <w:jc w:val="both"/>
        <w:rPr>
          <w:rFonts w:ascii="Verdana" w:eastAsia="Times New Roman" w:hAnsi="Verdana" w:cs="Arial"/>
        </w:rPr>
      </w:pPr>
      <w:r w:rsidRPr="009A0CA0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 xml:space="preserve">This needs formal approval under current M &amp; A’s. </w:t>
      </w:r>
      <w:r w:rsidR="00AF4548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Extract from M&amp;A’s:</w:t>
      </w:r>
    </w:p>
    <w:p w14:paraId="35AE9642" w14:textId="395B4F3A" w:rsidR="0042508C" w:rsidRDefault="0042508C" w:rsidP="0042508C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Arial"/>
        </w:rPr>
      </w:pPr>
      <w:r w:rsidRPr="0042508C">
        <w:rPr>
          <w:rFonts w:ascii="Verdana" w:eastAsia="Times New Roman" w:hAnsi="Verdana" w:cs="Arial"/>
        </w:rPr>
        <w:t xml:space="preserve">An individual, once admitted to Ordinary Membership, shall automatically cease to be a member if he/she ceases to fulfil any of the qualifications for Ordinary Membership set out in article </w:t>
      </w:r>
      <w:r w:rsidRPr="0042508C">
        <w:rPr>
          <w:rFonts w:ascii="Verdana" w:eastAsia="Times New Roman" w:hAnsi="Verdana" w:cs="Arial"/>
        </w:rPr>
        <w:fldChar w:fldCharType="begin"/>
      </w:r>
      <w:r w:rsidRPr="0042508C">
        <w:rPr>
          <w:rFonts w:ascii="Verdana" w:eastAsia="Times New Roman" w:hAnsi="Verdana" w:cs="Arial"/>
        </w:rPr>
        <w:instrText xml:space="preserve"> REF _Ref450060761 \r \h </w:instrText>
      </w:r>
      <w:r w:rsidRPr="0042508C">
        <w:rPr>
          <w:rFonts w:ascii="Verdana" w:eastAsia="Times New Roman" w:hAnsi="Verdana" w:cs="Arial"/>
        </w:rPr>
      </w:r>
      <w:r w:rsidRPr="0042508C">
        <w:rPr>
          <w:rFonts w:ascii="Verdana" w:eastAsia="Times New Roman" w:hAnsi="Verdana" w:cs="Arial"/>
        </w:rPr>
        <w:fldChar w:fldCharType="separate"/>
      </w:r>
      <w:r w:rsidRPr="0042508C">
        <w:rPr>
          <w:rFonts w:ascii="Verdana" w:eastAsia="Times New Roman" w:hAnsi="Verdana" w:cs="Arial"/>
        </w:rPr>
        <w:t>17</w:t>
      </w:r>
      <w:r w:rsidRPr="0042508C">
        <w:rPr>
          <w:rFonts w:ascii="Verdana" w:eastAsia="Times New Roman" w:hAnsi="Verdana" w:cs="Arial"/>
        </w:rPr>
        <w:fldChar w:fldCharType="end"/>
      </w:r>
      <w:r w:rsidRPr="0042508C">
        <w:rPr>
          <w:rFonts w:ascii="Verdana" w:eastAsia="Times New Roman" w:hAnsi="Verdana" w:cs="Arial"/>
        </w:rPr>
        <w:t>.</w:t>
      </w:r>
    </w:p>
    <w:p w14:paraId="7EFB3FB4" w14:textId="07C7E237" w:rsidR="0042508C" w:rsidRDefault="0042508C" w:rsidP="0042508C">
      <w:pPr>
        <w:pStyle w:val="ListParagraph"/>
        <w:ind w:left="1080"/>
        <w:jc w:val="both"/>
        <w:rPr>
          <w:rFonts w:ascii="Verdana" w:eastAsia="Times New Roman" w:hAnsi="Verdana" w:cs="Arial"/>
        </w:rPr>
      </w:pPr>
    </w:p>
    <w:p w14:paraId="2C6BE490" w14:textId="3E9AB1C1" w:rsidR="0042508C" w:rsidRPr="0042508C" w:rsidRDefault="0042508C" w:rsidP="0042508C">
      <w:pPr>
        <w:spacing w:after="0"/>
        <w:ind w:left="720"/>
        <w:jc w:val="both"/>
        <w:rPr>
          <w:rFonts w:ascii="Verdana" w:eastAsia="Times New Roman" w:hAnsi="Verdana" w:cs="Arial"/>
        </w:rPr>
      </w:pPr>
      <w:bookmarkStart w:id="0" w:name="_Ref450060761"/>
      <w:r>
        <w:rPr>
          <w:rFonts w:ascii="Verdana" w:eastAsia="Times New Roman" w:hAnsi="Verdana" w:cs="Arial"/>
        </w:rPr>
        <w:t>21</w:t>
      </w:r>
      <w:r>
        <w:rPr>
          <w:rFonts w:ascii="Verdana" w:eastAsia="Times New Roman" w:hAnsi="Verdana" w:cs="Arial"/>
        </w:rPr>
        <w:tab/>
      </w:r>
      <w:r w:rsidRPr="0042508C">
        <w:rPr>
          <w:rFonts w:ascii="Verdana" w:eastAsia="Times New Roman" w:hAnsi="Verdana" w:cs="Arial"/>
        </w:rPr>
        <w:t xml:space="preserve">Ordinary Membership shall (subject to articles </w:t>
      </w:r>
      <w:r w:rsidRPr="0042508C">
        <w:rPr>
          <w:rFonts w:ascii="Verdana" w:eastAsia="Times New Roman" w:hAnsi="Verdana" w:cs="Arial"/>
        </w:rPr>
        <w:fldChar w:fldCharType="begin"/>
      </w:r>
      <w:r w:rsidRPr="0042508C">
        <w:rPr>
          <w:rFonts w:ascii="Verdana" w:eastAsia="Times New Roman" w:hAnsi="Verdana" w:cs="Arial"/>
        </w:rPr>
        <w:instrText xml:space="preserve"> REF _Ref450065414 \r \h </w:instrText>
      </w:r>
      <w:r w:rsidRPr="0042508C">
        <w:rPr>
          <w:rFonts w:ascii="Verdana" w:eastAsia="Times New Roman" w:hAnsi="Verdana" w:cs="Arial"/>
        </w:rPr>
      </w:r>
      <w:r w:rsidRPr="0042508C">
        <w:rPr>
          <w:rFonts w:ascii="Verdana" w:eastAsia="Times New Roman" w:hAnsi="Verdana" w:cs="Arial"/>
        </w:rPr>
        <w:fldChar w:fldCharType="separate"/>
      </w:r>
      <w:r w:rsidRPr="0042508C">
        <w:rPr>
          <w:rFonts w:ascii="Verdana" w:eastAsia="Times New Roman" w:hAnsi="Verdana" w:cs="Arial"/>
        </w:rPr>
        <w:t>22</w:t>
      </w:r>
      <w:r w:rsidRPr="0042508C">
        <w:rPr>
          <w:rFonts w:ascii="Verdana" w:eastAsia="Times New Roman" w:hAnsi="Verdana" w:cs="Arial"/>
        </w:rPr>
        <w:fldChar w:fldCharType="end"/>
      </w:r>
      <w:r w:rsidRPr="0042508C">
        <w:rPr>
          <w:rFonts w:ascii="Verdana" w:eastAsia="Times New Roman" w:hAnsi="Verdana" w:cs="Arial"/>
        </w:rPr>
        <w:t xml:space="preserve">, </w:t>
      </w:r>
      <w:r w:rsidRPr="0042508C">
        <w:rPr>
          <w:rFonts w:ascii="Verdana" w:eastAsia="Times New Roman" w:hAnsi="Verdana" w:cs="Arial"/>
        </w:rPr>
        <w:fldChar w:fldCharType="begin"/>
      </w:r>
      <w:r w:rsidRPr="0042508C">
        <w:rPr>
          <w:rFonts w:ascii="Verdana" w:eastAsia="Times New Roman" w:hAnsi="Verdana" w:cs="Arial"/>
        </w:rPr>
        <w:instrText xml:space="preserve"> REF _Ref450065165 \r \h </w:instrText>
      </w:r>
      <w:r w:rsidRPr="0042508C">
        <w:rPr>
          <w:rFonts w:ascii="Verdana" w:eastAsia="Times New Roman" w:hAnsi="Verdana" w:cs="Arial"/>
        </w:rPr>
      </w:r>
      <w:r w:rsidRPr="0042508C">
        <w:rPr>
          <w:rFonts w:ascii="Verdana" w:eastAsia="Times New Roman" w:hAnsi="Verdana" w:cs="Arial"/>
        </w:rPr>
        <w:fldChar w:fldCharType="separate"/>
      </w:r>
      <w:r w:rsidRPr="0042508C">
        <w:rPr>
          <w:rFonts w:ascii="Verdana" w:eastAsia="Times New Roman" w:hAnsi="Verdana" w:cs="Arial"/>
        </w:rPr>
        <w:t>23</w:t>
      </w:r>
      <w:r w:rsidRPr="0042508C">
        <w:rPr>
          <w:rFonts w:ascii="Verdana" w:eastAsia="Times New Roman" w:hAnsi="Verdana" w:cs="Arial"/>
        </w:rPr>
        <w:fldChar w:fldCharType="end"/>
      </w:r>
      <w:r w:rsidRPr="0042508C">
        <w:rPr>
          <w:rFonts w:ascii="Verdana" w:eastAsia="Times New Roman" w:hAnsi="Verdana" w:cs="Arial"/>
        </w:rPr>
        <w:t xml:space="preserve">, and </w:t>
      </w:r>
      <w:r w:rsidRPr="0042508C">
        <w:rPr>
          <w:rFonts w:ascii="Verdana" w:eastAsia="Times New Roman" w:hAnsi="Verdana" w:cs="Arial"/>
        </w:rPr>
        <w:fldChar w:fldCharType="begin"/>
      </w:r>
      <w:r w:rsidRPr="0042508C">
        <w:rPr>
          <w:rFonts w:ascii="Verdana" w:eastAsia="Times New Roman" w:hAnsi="Verdana" w:cs="Arial"/>
        </w:rPr>
        <w:instrText xml:space="preserve"> REF _Ref450065177 \r \h </w:instrText>
      </w:r>
      <w:r w:rsidRPr="0042508C">
        <w:rPr>
          <w:rFonts w:ascii="Verdana" w:eastAsia="Times New Roman" w:hAnsi="Verdana" w:cs="Arial"/>
        </w:rPr>
      </w:r>
      <w:r w:rsidRPr="0042508C">
        <w:rPr>
          <w:rFonts w:ascii="Verdana" w:eastAsia="Times New Roman" w:hAnsi="Verdana" w:cs="Arial"/>
        </w:rPr>
        <w:fldChar w:fldCharType="separate"/>
      </w:r>
      <w:r w:rsidRPr="0042508C">
        <w:rPr>
          <w:rFonts w:ascii="Verdana" w:eastAsia="Times New Roman" w:hAnsi="Verdana" w:cs="Arial"/>
        </w:rPr>
        <w:t>27</w:t>
      </w:r>
      <w:r w:rsidRPr="0042508C">
        <w:rPr>
          <w:rFonts w:ascii="Verdana" w:eastAsia="Times New Roman" w:hAnsi="Verdana" w:cs="Arial"/>
        </w:rPr>
        <w:fldChar w:fldCharType="end"/>
      </w:r>
      <w:r w:rsidRPr="0042508C">
        <w:rPr>
          <w:rFonts w:ascii="Verdana" w:eastAsia="Times New Roman" w:hAnsi="Verdana" w:cs="Arial"/>
        </w:rPr>
        <w:t>) be open to any person aged 18 years or over who:</w:t>
      </w:r>
      <w:bookmarkEnd w:id="0"/>
    </w:p>
    <w:p w14:paraId="422C374A" w14:textId="77777777" w:rsidR="0042508C" w:rsidRPr="0042508C" w:rsidRDefault="0042508C" w:rsidP="0042508C">
      <w:pPr>
        <w:ind w:left="1418" w:hanging="709"/>
        <w:jc w:val="both"/>
        <w:rPr>
          <w:rFonts w:ascii="Verdana" w:eastAsia="Times New Roman" w:hAnsi="Verdana" w:cs="Arial"/>
        </w:rPr>
      </w:pPr>
      <w:r w:rsidRPr="0042508C">
        <w:rPr>
          <w:rFonts w:ascii="Verdana" w:eastAsia="Times New Roman" w:hAnsi="Verdana" w:cs="Arial"/>
        </w:rPr>
        <w:t>(a)</w:t>
      </w:r>
      <w:r w:rsidRPr="0042508C">
        <w:rPr>
          <w:rFonts w:ascii="Verdana" w:eastAsia="Times New Roman" w:hAnsi="Verdana" w:cs="Arial"/>
        </w:rPr>
        <w:tab/>
        <w:t xml:space="preserve">is ordinarily resident in the Community (as defined in article </w:t>
      </w:r>
      <w:r w:rsidRPr="0042508C">
        <w:rPr>
          <w:rFonts w:ascii="Verdana" w:eastAsia="Times New Roman" w:hAnsi="Verdana" w:cs="Arial"/>
        </w:rPr>
        <w:fldChar w:fldCharType="begin"/>
      </w:r>
      <w:r w:rsidRPr="0042508C">
        <w:rPr>
          <w:rFonts w:ascii="Verdana" w:eastAsia="Times New Roman" w:hAnsi="Verdana" w:cs="Arial"/>
        </w:rPr>
        <w:instrText xml:space="preserve"> REF _Ref450061839 \r \h </w:instrText>
      </w:r>
      <w:r w:rsidRPr="0042508C">
        <w:rPr>
          <w:rFonts w:ascii="Verdana" w:eastAsia="Times New Roman" w:hAnsi="Verdana" w:cs="Arial"/>
        </w:rPr>
      </w:r>
      <w:r w:rsidRPr="0042508C">
        <w:rPr>
          <w:rFonts w:ascii="Verdana" w:eastAsia="Times New Roman" w:hAnsi="Verdana" w:cs="Arial"/>
        </w:rPr>
        <w:fldChar w:fldCharType="separate"/>
      </w:r>
      <w:r w:rsidRPr="0042508C">
        <w:rPr>
          <w:rFonts w:ascii="Verdana" w:eastAsia="Times New Roman" w:hAnsi="Verdana" w:cs="Arial"/>
        </w:rPr>
        <w:t>4</w:t>
      </w:r>
      <w:r w:rsidRPr="0042508C">
        <w:rPr>
          <w:rFonts w:ascii="Verdana" w:eastAsia="Times New Roman" w:hAnsi="Verdana" w:cs="Arial"/>
        </w:rPr>
        <w:fldChar w:fldCharType="end"/>
      </w:r>
      <w:proofErr w:type="gramStart"/>
      <w:r w:rsidRPr="0042508C">
        <w:rPr>
          <w:rFonts w:ascii="Verdana" w:eastAsia="Times New Roman" w:hAnsi="Verdana" w:cs="Arial"/>
        </w:rPr>
        <w:t>);</w:t>
      </w:r>
      <w:proofErr w:type="gramEnd"/>
      <w:r w:rsidRPr="0042508C">
        <w:rPr>
          <w:rFonts w:ascii="Verdana" w:eastAsia="Times New Roman" w:hAnsi="Verdana" w:cs="Arial"/>
        </w:rPr>
        <w:t xml:space="preserve"> </w:t>
      </w:r>
    </w:p>
    <w:p w14:paraId="3551D698" w14:textId="77777777" w:rsidR="0042508C" w:rsidRPr="0042508C" w:rsidRDefault="0042508C" w:rsidP="0042508C">
      <w:pPr>
        <w:ind w:left="1418" w:hanging="709"/>
        <w:jc w:val="both"/>
        <w:rPr>
          <w:rFonts w:ascii="Verdana" w:eastAsia="Times New Roman" w:hAnsi="Verdana" w:cs="Arial"/>
        </w:rPr>
      </w:pPr>
      <w:r w:rsidRPr="0042508C">
        <w:rPr>
          <w:rFonts w:ascii="Verdana" w:eastAsia="Times New Roman" w:hAnsi="Verdana" w:cs="Arial"/>
        </w:rPr>
        <w:t>(b)</w:t>
      </w:r>
      <w:r w:rsidRPr="0042508C">
        <w:rPr>
          <w:rFonts w:ascii="Verdana" w:eastAsia="Times New Roman" w:hAnsi="Verdana" w:cs="Arial"/>
        </w:rPr>
        <w:tab/>
        <w:t>is entitled to vote at a local government election in a polling district that includes the Community or part of it; and</w:t>
      </w:r>
    </w:p>
    <w:p w14:paraId="1FA24E5A" w14:textId="77777777" w:rsidR="0042508C" w:rsidRPr="0042508C" w:rsidRDefault="0042508C" w:rsidP="0042508C">
      <w:pPr>
        <w:ind w:firstLine="709"/>
        <w:jc w:val="both"/>
        <w:rPr>
          <w:rFonts w:ascii="Verdana" w:eastAsia="Times New Roman" w:hAnsi="Verdana" w:cs="Arial"/>
        </w:rPr>
      </w:pPr>
      <w:r w:rsidRPr="0042508C">
        <w:rPr>
          <w:rFonts w:ascii="Verdana" w:eastAsia="Times New Roman" w:hAnsi="Verdana" w:cs="Arial"/>
        </w:rPr>
        <w:t xml:space="preserve"> (c)</w:t>
      </w:r>
      <w:r w:rsidRPr="0042508C">
        <w:rPr>
          <w:rFonts w:ascii="Verdana" w:eastAsia="Times New Roman" w:hAnsi="Verdana" w:cs="Arial"/>
        </w:rPr>
        <w:tab/>
        <w:t>supports the objects and activities of the company.</w:t>
      </w:r>
    </w:p>
    <w:p w14:paraId="1A3E1B58" w14:textId="77777777" w:rsidR="0042508C" w:rsidRPr="0042508C" w:rsidRDefault="0042508C" w:rsidP="0042508C">
      <w:pPr>
        <w:pStyle w:val="ListParagraph"/>
        <w:ind w:left="1080"/>
        <w:jc w:val="both"/>
        <w:rPr>
          <w:rFonts w:ascii="Verdana" w:eastAsia="Times New Roman" w:hAnsi="Verdana" w:cs="Arial"/>
        </w:rPr>
      </w:pPr>
    </w:p>
    <w:p w14:paraId="4012691A" w14:textId="05C74350" w:rsidR="009A0CA0" w:rsidRPr="009A0CA0" w:rsidRDefault="009A0CA0" w:rsidP="0042508C">
      <w:pPr>
        <w:shd w:val="clear" w:color="auto" w:fill="FFFFFF"/>
        <w:spacing w:after="0"/>
        <w:ind w:firstLine="425"/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</w:pPr>
    </w:p>
    <w:p w14:paraId="2861C3BA" w14:textId="77777777" w:rsidR="009A0CA0" w:rsidRPr="000B4B4F" w:rsidRDefault="009A0CA0" w:rsidP="000D6928">
      <w:pPr>
        <w:pStyle w:val="ACCitemlevel2nonumber"/>
      </w:pPr>
    </w:p>
    <w:p w14:paraId="27F83F25" w14:textId="79D30DBC" w:rsidR="000D6928" w:rsidRPr="00661B1F" w:rsidRDefault="000D6928" w:rsidP="000D6928">
      <w:pPr>
        <w:pStyle w:val="ACCitemlevel1"/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</w:t>
      </w:r>
      <w:proofErr w:type="spellStart"/>
      <w:r w:rsidR="0017727D">
        <w:t>Druim</w:t>
      </w:r>
      <w:proofErr w:type="spellEnd"/>
      <w:r w:rsidR="0017727D">
        <w:t xml:space="preserve"> </w:t>
      </w:r>
      <w:proofErr w:type="spellStart"/>
      <w:r w:rsidR="0017727D">
        <w:t>Garbh</w:t>
      </w:r>
      <w:proofErr w:type="spellEnd"/>
      <w:r w:rsidRPr="00661B1F">
        <w:t xml:space="preserve"> and Community Garden. </w:t>
      </w:r>
    </w:p>
    <w:p w14:paraId="54844B96" w14:textId="77777777" w:rsidR="000D6928" w:rsidRPr="00661B1F" w:rsidRDefault="000D6928" w:rsidP="000D6928">
      <w:pPr>
        <w:pStyle w:val="ACCitemlevel1"/>
      </w:pPr>
      <w:r w:rsidRPr="00661B1F">
        <w:t>Asset transfer – Community Centre</w:t>
      </w:r>
    </w:p>
    <w:p w14:paraId="1E09A346" w14:textId="3360114B" w:rsidR="000D6928" w:rsidRDefault="009A0CA0" w:rsidP="000D6928">
      <w:pPr>
        <w:pStyle w:val="ACCitemlevel2nonumber"/>
      </w:pPr>
      <w:r>
        <w:t xml:space="preserve">Project Worker </w:t>
      </w:r>
      <w:r w:rsidR="00B00A75">
        <w:t>–</w:t>
      </w:r>
      <w:r>
        <w:t xml:space="preserve"> </w:t>
      </w:r>
      <w:r w:rsidR="0017727D">
        <w:t>Pamela King submitted a report</w:t>
      </w:r>
      <w:r w:rsidR="00EF0B43">
        <w:t>.</w:t>
      </w:r>
      <w:r w:rsidR="00F2374B">
        <w:t xml:space="preserve"> 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lastRenderedPageBreak/>
        <w:t>Subcommittee Reports</w:t>
      </w:r>
    </w:p>
    <w:p w14:paraId="6AB3F238" w14:textId="77777777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DJK</w:t>
      </w:r>
    </w:p>
    <w:p w14:paraId="7FD7081A" w14:textId="61736EE8" w:rsidR="000D6928" w:rsidRDefault="00AD067F" w:rsidP="00AD067F">
      <w:pPr>
        <w:pStyle w:val="ACCitemlevel3"/>
        <w:ind w:left="567" w:firstLine="142"/>
      </w:pPr>
      <w:r>
        <w:t>Draft documentation for new and prospective directors</w:t>
      </w:r>
      <w:r w:rsidR="00EF0B43">
        <w:t xml:space="preserve"> is in progress.</w:t>
      </w:r>
    </w:p>
    <w:p w14:paraId="6B4AC647" w14:textId="77777777" w:rsidR="00447AB9" w:rsidRDefault="00447AB9" w:rsidP="00AD067F">
      <w:pPr>
        <w:pStyle w:val="ACCitemlevel3"/>
        <w:ind w:left="567" w:firstLine="142"/>
      </w:pPr>
    </w:p>
    <w:p w14:paraId="4F0F988F" w14:textId="2E4E89A0" w:rsidR="00AD067F" w:rsidRDefault="00AD067F" w:rsidP="00AD067F">
      <w:pPr>
        <w:pStyle w:val="ACCitemlevel3"/>
        <w:ind w:left="567" w:firstLine="142"/>
        <w:rPr>
          <w:bCs/>
          <w:color w:val="000000"/>
        </w:rPr>
      </w:pPr>
      <w:r w:rsidRPr="00897E12">
        <w:rPr>
          <w:bCs/>
          <w:color w:val="000000"/>
        </w:rPr>
        <w:t>Strategic Plan</w:t>
      </w:r>
      <w:r w:rsidR="00EF0B43">
        <w:rPr>
          <w:bCs/>
          <w:color w:val="000000"/>
        </w:rPr>
        <w:t xml:space="preserve"> ongoing</w:t>
      </w:r>
    </w:p>
    <w:p w14:paraId="1D975B26" w14:textId="77777777" w:rsidR="00447AB9" w:rsidRPr="00AD067F" w:rsidRDefault="00447AB9" w:rsidP="00AD067F">
      <w:pPr>
        <w:pStyle w:val="ACCitemlevel3"/>
        <w:ind w:left="567" w:firstLine="142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31C5FFCF" w14:textId="02ED14EF" w:rsidR="00447AB9" w:rsidRDefault="00447AB9" w:rsidP="00447AB9">
      <w:pPr>
        <w:pStyle w:val="ACCitemlevel2numberedbold"/>
        <w:numPr>
          <w:ilvl w:val="0"/>
          <w:numId w:val="0"/>
        </w:numPr>
        <w:ind w:left="576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P</w:t>
      </w:r>
      <w:r w:rsidRPr="00447AB9">
        <w:rPr>
          <w:b w:val="0"/>
          <w:color w:val="000000"/>
          <w:szCs w:val="20"/>
        </w:rPr>
        <w:t>rogress report including building maintenance &amp; reuse project</w:t>
      </w:r>
      <w:r>
        <w:rPr>
          <w:b w:val="0"/>
          <w:color w:val="000000"/>
          <w:szCs w:val="20"/>
        </w:rPr>
        <w:t>.</w:t>
      </w:r>
    </w:p>
    <w:p w14:paraId="5C48BEEF" w14:textId="1ABAEAF2" w:rsidR="00447AB9" w:rsidRDefault="00447AB9" w:rsidP="00447AB9">
      <w:pPr>
        <w:pStyle w:val="ACCitemlevel2numberedbold"/>
        <w:numPr>
          <w:ilvl w:val="0"/>
          <w:numId w:val="0"/>
        </w:numPr>
        <w:ind w:left="576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P</w:t>
      </w:r>
      <w:r w:rsidRPr="00447AB9">
        <w:rPr>
          <w:b w:val="0"/>
          <w:color w:val="000000"/>
          <w:szCs w:val="20"/>
        </w:rPr>
        <w:t>roposed developments</w:t>
      </w:r>
    </w:p>
    <w:p w14:paraId="775ED8E2" w14:textId="72C9EAF5" w:rsidR="000D6928" w:rsidRPr="00B00A75" w:rsidRDefault="00B00A75" w:rsidP="00447AB9">
      <w:pPr>
        <w:pStyle w:val="ACCitemlevel2numberedbold"/>
        <w:numPr>
          <w:ilvl w:val="0"/>
          <w:numId w:val="0"/>
        </w:numPr>
        <w:ind w:left="576"/>
        <w:rPr>
          <w:rFonts w:cstheme="minorHAnsi"/>
          <w:b w:val="0"/>
          <w:bCs/>
        </w:rPr>
      </w:pPr>
      <w:r w:rsidRPr="00B00A75">
        <w:rPr>
          <w:b w:val="0"/>
          <w:bCs/>
        </w:rPr>
        <w:t>HC still paying for fire protection</w:t>
      </w:r>
      <w:r w:rsidR="00ED11CA">
        <w:rPr>
          <w:b w:val="0"/>
          <w:bCs/>
        </w:rPr>
        <w:t xml:space="preserve"> including</w:t>
      </w:r>
      <w:r>
        <w:rPr>
          <w:b w:val="0"/>
          <w:bCs/>
        </w:rPr>
        <w:t xml:space="preserve"> </w:t>
      </w:r>
      <w:r w:rsidR="00ED11CA">
        <w:rPr>
          <w:b w:val="0"/>
          <w:bCs/>
        </w:rPr>
        <w:t xml:space="preserve">maintenance of </w:t>
      </w:r>
      <w:r>
        <w:rPr>
          <w:b w:val="0"/>
          <w:bCs/>
        </w:rPr>
        <w:t xml:space="preserve">alarms </w:t>
      </w:r>
      <w:r w:rsidR="00ED11CA">
        <w:rPr>
          <w:b w:val="0"/>
          <w:bCs/>
        </w:rPr>
        <w:t xml:space="preserve">etc </w:t>
      </w:r>
      <w:r>
        <w:rPr>
          <w:b w:val="0"/>
          <w:bCs/>
        </w:rPr>
        <w:t xml:space="preserve">until contract ends (another year). </w:t>
      </w:r>
      <w:r w:rsidR="00692DFC">
        <w:rPr>
          <w:b w:val="0"/>
          <w:bCs/>
        </w:rPr>
        <w:t xml:space="preserve">DJC noted that the work can be continued by the </w:t>
      </w:r>
      <w:r>
        <w:rPr>
          <w:b w:val="0"/>
          <w:bCs/>
        </w:rPr>
        <w:t>local fire brigade.</w:t>
      </w:r>
      <w:r w:rsidR="000D6928" w:rsidRPr="00B00A75">
        <w:rPr>
          <w:b w:val="0"/>
          <w:bCs/>
        </w:rPr>
        <w:tab/>
      </w:r>
    </w:p>
    <w:p w14:paraId="735AB369" w14:textId="5F7A52DE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6258C7">
        <w:tab/>
      </w:r>
      <w:proofErr w:type="gramEnd"/>
      <w:r w:rsidR="007B4E1F">
        <w:t>FC</w:t>
      </w:r>
    </w:p>
    <w:p w14:paraId="72588F57" w14:textId="77777777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Progress with the p</w:t>
      </w:r>
      <w:r w:rsidRPr="00897E12">
        <w:rPr>
          <w:color w:val="000000"/>
          <w:szCs w:val="20"/>
        </w:rPr>
        <w:t>re-approved asset transfer by Highland Council</w:t>
      </w:r>
      <w:r>
        <w:rPr>
          <w:color w:val="000000"/>
          <w:szCs w:val="20"/>
        </w:rPr>
        <w:t xml:space="preserve"> and associated funding.</w:t>
      </w:r>
    </w:p>
    <w:p w14:paraId="1A0168F2" w14:textId="2F79D909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Publicity &amp; fund-raising initiatives.</w:t>
      </w:r>
      <w:r w:rsidR="00B00A75">
        <w:rPr>
          <w:color w:val="000000"/>
          <w:szCs w:val="20"/>
        </w:rPr>
        <w:t xml:space="preserve"> </w:t>
      </w:r>
      <w:r w:rsidR="00A062D6">
        <w:rPr>
          <w:color w:val="000000"/>
          <w:szCs w:val="20"/>
        </w:rPr>
        <w:t>FC reported that f</w:t>
      </w:r>
      <w:r w:rsidR="00B00A75">
        <w:rPr>
          <w:color w:val="000000"/>
          <w:szCs w:val="20"/>
        </w:rPr>
        <w:t xml:space="preserve">und raising </w:t>
      </w:r>
      <w:r w:rsidR="00A062D6">
        <w:rPr>
          <w:color w:val="000000"/>
          <w:szCs w:val="20"/>
        </w:rPr>
        <w:t>has started</w:t>
      </w:r>
      <w:r w:rsidR="00BB659D">
        <w:rPr>
          <w:color w:val="000000"/>
          <w:szCs w:val="20"/>
        </w:rPr>
        <w:t xml:space="preserve">. </w:t>
      </w:r>
      <w:r w:rsidR="00B00A75">
        <w:rPr>
          <w:color w:val="000000"/>
          <w:szCs w:val="20"/>
        </w:rPr>
        <w:t xml:space="preserve">£900 raised so far </w:t>
      </w:r>
      <w:r w:rsidR="00BB659D">
        <w:rPr>
          <w:color w:val="000000"/>
          <w:szCs w:val="20"/>
        </w:rPr>
        <w:t xml:space="preserve">including </w:t>
      </w:r>
      <w:r w:rsidR="00B00A75">
        <w:rPr>
          <w:color w:val="000000"/>
          <w:szCs w:val="20"/>
        </w:rPr>
        <w:t xml:space="preserve">£100 at school </w:t>
      </w:r>
      <w:r w:rsidR="00BB659D">
        <w:rPr>
          <w:color w:val="000000"/>
          <w:szCs w:val="20"/>
        </w:rPr>
        <w:t xml:space="preserve">and </w:t>
      </w:r>
      <w:r w:rsidR="00B00A75">
        <w:rPr>
          <w:color w:val="000000"/>
          <w:szCs w:val="20"/>
        </w:rPr>
        <w:t xml:space="preserve">£450 </w:t>
      </w:r>
      <w:r w:rsidR="00BB659D">
        <w:rPr>
          <w:color w:val="000000"/>
          <w:szCs w:val="20"/>
        </w:rPr>
        <w:t xml:space="preserve">from a </w:t>
      </w:r>
      <w:r w:rsidR="00B00A75">
        <w:rPr>
          <w:color w:val="000000"/>
          <w:szCs w:val="20"/>
        </w:rPr>
        <w:t xml:space="preserve">cycle ride. Arnold Clark grant applied for. FC has been given list of potential funders. Email to members. Gift aid </w:t>
      </w:r>
      <w:r w:rsidR="00E77553">
        <w:rPr>
          <w:color w:val="000000"/>
          <w:szCs w:val="20"/>
        </w:rPr>
        <w:t xml:space="preserve">to be claimed </w:t>
      </w:r>
      <w:r w:rsidR="00B00A75">
        <w:rPr>
          <w:color w:val="000000"/>
          <w:szCs w:val="20"/>
        </w:rPr>
        <w:t>on donations</w:t>
      </w:r>
      <w:r w:rsidR="00E77553">
        <w:rPr>
          <w:color w:val="000000"/>
          <w:szCs w:val="20"/>
        </w:rPr>
        <w:t xml:space="preserve">. </w:t>
      </w:r>
      <w:r w:rsidR="00F638F7">
        <w:rPr>
          <w:color w:val="000000"/>
          <w:szCs w:val="20"/>
        </w:rPr>
        <w:t>FC has organised a</w:t>
      </w:r>
      <w:r w:rsidR="00B00A75">
        <w:rPr>
          <w:color w:val="000000"/>
          <w:szCs w:val="20"/>
        </w:rPr>
        <w:t xml:space="preserve"> </w:t>
      </w:r>
      <w:r w:rsidR="00053589">
        <w:rPr>
          <w:color w:val="000000"/>
          <w:szCs w:val="20"/>
        </w:rPr>
        <w:t xml:space="preserve">school logo competition. </w:t>
      </w:r>
      <w:r w:rsidR="00F638F7">
        <w:rPr>
          <w:color w:val="000000"/>
          <w:szCs w:val="20"/>
        </w:rPr>
        <w:t>Also a</w:t>
      </w:r>
      <w:r w:rsidR="00053589">
        <w:rPr>
          <w:color w:val="000000"/>
          <w:szCs w:val="20"/>
        </w:rPr>
        <w:t>sking businesses for donations.</w:t>
      </w:r>
      <w:r w:rsidR="00F638F7">
        <w:rPr>
          <w:color w:val="000000"/>
          <w:szCs w:val="20"/>
        </w:rPr>
        <w:t xml:space="preserve"> Businesses </w:t>
      </w:r>
      <w:r w:rsidR="00BB6F93">
        <w:rPr>
          <w:color w:val="000000"/>
          <w:szCs w:val="20"/>
        </w:rPr>
        <w:t xml:space="preserve">to be offered chance to </w:t>
      </w:r>
      <w:r w:rsidR="004B0E30">
        <w:rPr>
          <w:color w:val="000000"/>
          <w:szCs w:val="20"/>
        </w:rPr>
        <w:t>be named as donors on the site (plaques etc).</w:t>
      </w:r>
    </w:p>
    <w:p w14:paraId="305BB0C4" w14:textId="77777777" w:rsidR="000D6928" w:rsidRPr="00300862" w:rsidRDefault="000D6928" w:rsidP="007B4E1F">
      <w:pPr>
        <w:pStyle w:val="ACCitemlevel2numberedbold"/>
      </w:pPr>
      <w:r w:rsidRPr="00300862">
        <w:t>Project – defibrillator</w:t>
      </w:r>
      <w:r>
        <w:tab/>
        <w:t>BD</w:t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2B33884C" w:rsidR="000D6928" w:rsidRDefault="004B0E30" w:rsidP="000D6928">
      <w:pPr>
        <w:pStyle w:val="ACCitemlevel3"/>
      </w:pPr>
      <w:r>
        <w:t>N</w:t>
      </w:r>
      <w:r w:rsidR="000D6928" w:rsidRPr="00365662">
        <w:t>o progress to report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0D6928">
      <w:pPr>
        <w:pStyle w:val="ACCitemlevel2nonumber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7EEF8885" w:rsidR="000D6928" w:rsidRDefault="000D6928" w:rsidP="000D6928">
      <w:pPr>
        <w:pStyle w:val="ACCitemlevel1"/>
      </w:pPr>
      <w:r>
        <w:t>AOB</w:t>
      </w:r>
    </w:p>
    <w:p w14:paraId="46555804" w14:textId="103E1C74" w:rsidR="00053589" w:rsidRDefault="00053589" w:rsidP="00053589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A</w:t>
      </w:r>
      <w:r>
        <w:rPr>
          <w:lang w:eastAsia="en-US" w:bidi="ar-SA"/>
        </w:rPr>
        <w:tab/>
      </w:r>
      <w:r w:rsidR="00795F04">
        <w:rPr>
          <w:lang w:eastAsia="en-US" w:bidi="ar-SA"/>
        </w:rPr>
        <w:t xml:space="preserve">FC asked about </w:t>
      </w:r>
      <w:r>
        <w:rPr>
          <w:lang w:eastAsia="en-US" w:bidi="ar-SA"/>
        </w:rPr>
        <w:t>grass cutting</w:t>
      </w:r>
      <w:r w:rsidR="00995A5D">
        <w:rPr>
          <w:lang w:eastAsia="en-US" w:bidi="ar-SA"/>
        </w:rPr>
        <w:t xml:space="preserve"> </w:t>
      </w:r>
      <w:r w:rsidR="00795F04">
        <w:rPr>
          <w:lang w:eastAsia="en-US" w:bidi="ar-SA"/>
        </w:rPr>
        <w:t xml:space="preserve">at the </w:t>
      </w:r>
      <w:r w:rsidR="00995A5D">
        <w:rPr>
          <w:lang w:eastAsia="en-US" w:bidi="ar-SA"/>
        </w:rPr>
        <w:t>play park</w:t>
      </w:r>
      <w:r w:rsidR="00795F04">
        <w:rPr>
          <w:lang w:eastAsia="en-US" w:bidi="ar-SA"/>
        </w:rPr>
        <w:t xml:space="preserve"> when it is completed</w:t>
      </w:r>
      <w:r w:rsidR="00CF160B">
        <w:rPr>
          <w:lang w:eastAsia="en-US" w:bidi="ar-SA"/>
        </w:rPr>
        <w:t>. Considered</w:t>
      </w:r>
      <w:r w:rsidR="00D96CBC">
        <w:rPr>
          <w:lang w:eastAsia="en-US" w:bidi="ar-SA"/>
        </w:rPr>
        <w:t xml:space="preserve">. Matting under equipment to allow grass to grow through, so these areas would need to be </w:t>
      </w:r>
      <w:proofErr w:type="spellStart"/>
      <w:r w:rsidR="00D96CBC">
        <w:rPr>
          <w:lang w:eastAsia="en-US" w:bidi="ar-SA"/>
        </w:rPr>
        <w:t>strimmed</w:t>
      </w:r>
      <w:proofErr w:type="spellEnd"/>
      <w:r w:rsidR="00D96CBC">
        <w:rPr>
          <w:lang w:eastAsia="en-US" w:bidi="ar-SA"/>
        </w:rPr>
        <w:t>. Local contractors to be offered chance to price for work</w:t>
      </w:r>
      <w:r w:rsidR="001F7245">
        <w:rPr>
          <w:lang w:eastAsia="en-US" w:bidi="ar-SA"/>
        </w:rPr>
        <w:t>.</w:t>
      </w:r>
      <w:r w:rsidR="00995A5D">
        <w:rPr>
          <w:lang w:eastAsia="en-US" w:bidi="ar-SA"/>
        </w:rPr>
        <w:t xml:space="preserve"> </w:t>
      </w:r>
    </w:p>
    <w:p w14:paraId="0164A6A8" w14:textId="45D4810B" w:rsidR="00995A5D" w:rsidRPr="00053589" w:rsidRDefault="001F7245" w:rsidP="00053589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B</w:t>
      </w:r>
      <w:r>
        <w:rPr>
          <w:lang w:eastAsia="en-US" w:bidi="ar-SA"/>
        </w:rPr>
        <w:tab/>
      </w:r>
      <w:r w:rsidR="00995A5D">
        <w:rPr>
          <w:lang w:eastAsia="en-US" w:bidi="ar-SA"/>
        </w:rPr>
        <w:t xml:space="preserve">Loch shiel estate land – </w:t>
      </w:r>
      <w:r>
        <w:rPr>
          <w:lang w:eastAsia="en-US" w:bidi="ar-SA"/>
        </w:rPr>
        <w:t>No progress on this matter.</w:t>
      </w:r>
      <w:r w:rsidR="00CD3374">
        <w:rPr>
          <w:lang w:eastAsia="en-US" w:bidi="ar-SA"/>
        </w:rPr>
        <w:t xml:space="preserve"> BD to follow up.</w:t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14:paraId="2E78665A" w14:textId="77777777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5BFB5FD0" w14:textId="2330D46C" w:rsidR="000D6928" w:rsidRPr="00283BAA" w:rsidRDefault="000D6928" w:rsidP="000D6928">
      <w:pPr>
        <w:pStyle w:val="ACCitemlevel2nonumber"/>
        <w:rPr>
          <w:color w:val="000000"/>
        </w:rPr>
      </w:pPr>
      <w:r w:rsidRPr="00283BAA">
        <w:t xml:space="preserve">the next meeting was set for 19:30 on </w:t>
      </w:r>
      <w:r w:rsidR="00995A5D">
        <w:t>June 17th</w:t>
      </w:r>
      <w:r>
        <w:t xml:space="preserve">- </w:t>
      </w:r>
      <w:r w:rsidRPr="00283BAA">
        <w:t xml:space="preserve">the meeting closed at </w:t>
      </w:r>
      <w:r w:rsidR="00995A5D">
        <w:t>9.15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01C47D81" w14:textId="160AB23F" w:rsidR="000D6928" w:rsidRDefault="00447AB9" w:rsidP="000D6928">
      <w:r>
        <w:t>Documents to append:</w:t>
      </w:r>
    </w:p>
    <w:p w14:paraId="3364DB53" w14:textId="300BB2F6" w:rsidR="00F65408" w:rsidRDefault="00955676" w:rsidP="000D6928">
      <w:r>
        <w:t>none</w:t>
      </w:r>
    </w:p>
    <w:p w14:paraId="04ED8D59" w14:textId="1C6BC521" w:rsidR="00447AB9" w:rsidRDefault="00447AB9" w:rsidP="000D6928"/>
    <w:p w14:paraId="6A0F814C" w14:textId="77777777" w:rsidR="000D6928" w:rsidRDefault="000D6928" w:rsidP="000D6928"/>
    <w:p w14:paraId="6FE02CBB" w14:textId="77777777" w:rsidR="000D6928" w:rsidRDefault="000D6928" w:rsidP="000D6928"/>
    <w:p w14:paraId="0620F6E7" w14:textId="77777777" w:rsidR="000D6928" w:rsidRDefault="000D6928" w:rsidP="000D6928"/>
    <w:p w14:paraId="616F3A28" w14:textId="77777777" w:rsidR="00C36BD6" w:rsidRDefault="00C36BD6"/>
    <w:sectPr w:rsidR="00C36BD6" w:rsidSect="008E249C">
      <w:pgSz w:w="11900" w:h="16840"/>
      <w:pgMar w:top="3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53589"/>
    <w:rsid w:val="00074B6E"/>
    <w:rsid w:val="000D1610"/>
    <w:rsid w:val="000D6928"/>
    <w:rsid w:val="0017727D"/>
    <w:rsid w:val="001F7245"/>
    <w:rsid w:val="002039CE"/>
    <w:rsid w:val="002901F0"/>
    <w:rsid w:val="002E3642"/>
    <w:rsid w:val="003550F0"/>
    <w:rsid w:val="003C429E"/>
    <w:rsid w:val="003D4CEE"/>
    <w:rsid w:val="00407FEC"/>
    <w:rsid w:val="0042508C"/>
    <w:rsid w:val="00447AB9"/>
    <w:rsid w:val="00452584"/>
    <w:rsid w:val="004B0E30"/>
    <w:rsid w:val="004C1167"/>
    <w:rsid w:val="0054352D"/>
    <w:rsid w:val="005C49DB"/>
    <w:rsid w:val="005C6B9B"/>
    <w:rsid w:val="005D0291"/>
    <w:rsid w:val="005D42E3"/>
    <w:rsid w:val="006001A1"/>
    <w:rsid w:val="006258C7"/>
    <w:rsid w:val="0065504D"/>
    <w:rsid w:val="006648A8"/>
    <w:rsid w:val="00692DFC"/>
    <w:rsid w:val="00695B83"/>
    <w:rsid w:val="006C19C6"/>
    <w:rsid w:val="006D257D"/>
    <w:rsid w:val="00703504"/>
    <w:rsid w:val="00734E8F"/>
    <w:rsid w:val="007411FB"/>
    <w:rsid w:val="0077254C"/>
    <w:rsid w:val="00795F04"/>
    <w:rsid w:val="007B4E1F"/>
    <w:rsid w:val="007D3B30"/>
    <w:rsid w:val="007D618E"/>
    <w:rsid w:val="007F4383"/>
    <w:rsid w:val="0086606C"/>
    <w:rsid w:val="00873E58"/>
    <w:rsid w:val="00882345"/>
    <w:rsid w:val="00891B9C"/>
    <w:rsid w:val="008B2330"/>
    <w:rsid w:val="008E249C"/>
    <w:rsid w:val="009007C0"/>
    <w:rsid w:val="00932AC7"/>
    <w:rsid w:val="00935BE2"/>
    <w:rsid w:val="00955676"/>
    <w:rsid w:val="009832DC"/>
    <w:rsid w:val="00995A5D"/>
    <w:rsid w:val="009A0CA0"/>
    <w:rsid w:val="009B06A6"/>
    <w:rsid w:val="009C12B3"/>
    <w:rsid w:val="009F3549"/>
    <w:rsid w:val="00A062D6"/>
    <w:rsid w:val="00A277C2"/>
    <w:rsid w:val="00A8461D"/>
    <w:rsid w:val="00AD067F"/>
    <w:rsid w:val="00AF4548"/>
    <w:rsid w:val="00AF48C9"/>
    <w:rsid w:val="00B00A75"/>
    <w:rsid w:val="00B2131B"/>
    <w:rsid w:val="00B31DF5"/>
    <w:rsid w:val="00B904B8"/>
    <w:rsid w:val="00B95576"/>
    <w:rsid w:val="00BB438D"/>
    <w:rsid w:val="00BB659D"/>
    <w:rsid w:val="00BB6F93"/>
    <w:rsid w:val="00BD029C"/>
    <w:rsid w:val="00BE4EEE"/>
    <w:rsid w:val="00BF42F1"/>
    <w:rsid w:val="00BF7D02"/>
    <w:rsid w:val="00C25E6D"/>
    <w:rsid w:val="00C36201"/>
    <w:rsid w:val="00C36BD6"/>
    <w:rsid w:val="00C61E68"/>
    <w:rsid w:val="00C7365D"/>
    <w:rsid w:val="00C77034"/>
    <w:rsid w:val="00CD3374"/>
    <w:rsid w:val="00CF160B"/>
    <w:rsid w:val="00D4294F"/>
    <w:rsid w:val="00D96CBC"/>
    <w:rsid w:val="00E40B93"/>
    <w:rsid w:val="00E43B59"/>
    <w:rsid w:val="00E77553"/>
    <w:rsid w:val="00ED11CA"/>
    <w:rsid w:val="00EF0B43"/>
    <w:rsid w:val="00F2374B"/>
    <w:rsid w:val="00F638F7"/>
    <w:rsid w:val="00F65408"/>
    <w:rsid w:val="00F80A78"/>
    <w:rsid w:val="00F8775F"/>
    <w:rsid w:val="00FA0138"/>
    <w:rsid w:val="00FA0CCE"/>
    <w:rsid w:val="00FB0C9D"/>
    <w:rsid w:val="00FC7A2E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left="431" w:right="799" w:hanging="431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3</cp:revision>
  <dcterms:created xsi:type="dcterms:W3CDTF">2021-08-30T12:18:00Z</dcterms:created>
  <dcterms:modified xsi:type="dcterms:W3CDTF">2021-08-30T13:54:00Z</dcterms:modified>
</cp:coreProperties>
</file>